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2C" w:rsidRDefault="00C4082C" w:rsidP="00C4082C">
      <w:pPr>
        <w:pStyle w:val="a7"/>
        <w:adjustRightInd w:val="0"/>
        <w:snapToGrid w:val="0"/>
        <w:spacing w:line="240" w:lineRule="atLeast"/>
        <w:ind w:firstLineChars="0" w:firstLine="0"/>
        <w:rPr>
          <w:sz w:val="21"/>
        </w:rPr>
      </w:pPr>
    </w:p>
    <w:p w:rsidR="00C4082C" w:rsidRDefault="00C4082C" w:rsidP="00C4082C">
      <w:pPr>
        <w:pStyle w:val="a7"/>
        <w:adjustRightInd w:val="0"/>
        <w:snapToGrid w:val="0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签字前请认真阅读本协议，一旦您在协议上签字，即表示您接受本协议内容并愿意自觉履行协议。</w:t>
      </w:r>
    </w:p>
    <w:p w:rsidR="00C4082C" w:rsidRDefault="00C4082C" w:rsidP="00C4082C">
      <w:pPr>
        <w:pStyle w:val="a7"/>
        <w:tabs>
          <w:tab w:val="left" w:pos="7370"/>
        </w:tabs>
        <w:adjustRightInd w:val="0"/>
        <w:snapToGrid w:val="0"/>
        <w:ind w:firstLineChars="0" w:firstLine="0"/>
        <w:jc w:val="left"/>
        <w:rPr>
          <w:rFonts w:ascii="黑体" w:eastAsia="黑体"/>
          <w:b/>
          <w:sz w:val="18"/>
        </w:rPr>
      </w:pPr>
      <w:r>
        <w:rPr>
          <w:rFonts w:ascii="黑体" w:eastAsia="黑体" w:hint="eastAsia"/>
          <w:b/>
          <w:sz w:val="18"/>
        </w:rPr>
        <w:tab/>
      </w:r>
    </w:p>
    <w:p w:rsidR="00C4082C" w:rsidRDefault="00C4082C" w:rsidP="00C4082C">
      <w:pPr>
        <w:pStyle w:val="a7"/>
        <w:adjustRightInd w:val="0"/>
        <w:snapToGrid w:val="0"/>
        <w:spacing w:line="240" w:lineRule="atLeast"/>
        <w:ind w:firstLineChars="0" w:firstLine="0"/>
        <w:jc w:val="center"/>
        <w:rPr>
          <w:rFonts w:ascii="黑体" w:eastAsia="黑体"/>
          <w:sz w:val="32"/>
        </w:rPr>
      </w:pPr>
      <w:bookmarkStart w:id="0" w:name="_GoBack"/>
      <w:r>
        <w:rPr>
          <w:rFonts w:ascii="黑体" w:eastAsia="黑体" w:hint="eastAsia"/>
          <w:sz w:val="32"/>
        </w:rPr>
        <w:t>供 用 水 协 议 书</w:t>
      </w:r>
    </w:p>
    <w:bookmarkEnd w:id="0"/>
    <w:p w:rsidR="00C4082C" w:rsidRDefault="00C4082C" w:rsidP="00C4082C">
      <w:pPr>
        <w:pStyle w:val="a7"/>
        <w:adjustRightInd w:val="0"/>
        <w:snapToGrid w:val="0"/>
        <w:spacing w:line="440" w:lineRule="exact"/>
        <w:ind w:firstLineChars="0" w:firstLine="0"/>
        <w:rPr>
          <w:sz w:val="24"/>
        </w:rPr>
      </w:pPr>
      <w:r>
        <w:rPr>
          <w:rFonts w:hint="eastAsia"/>
          <w:sz w:val="24"/>
        </w:rPr>
        <w:t>供水方：广西南宁晟宁投资集团有限责任公司       （以下简称甲方）</w:t>
      </w:r>
    </w:p>
    <w:p w:rsidR="00C4082C" w:rsidRDefault="00C4082C" w:rsidP="00C4082C">
      <w:pPr>
        <w:pStyle w:val="a7"/>
        <w:adjustRightInd w:val="0"/>
        <w:snapToGrid w:val="0"/>
        <w:spacing w:line="440" w:lineRule="exact"/>
        <w:ind w:firstLineChars="0" w:firstLine="0"/>
        <w:rPr>
          <w:sz w:val="24"/>
        </w:rPr>
      </w:pPr>
      <w:r>
        <w:rPr>
          <w:rFonts w:hint="eastAsia"/>
          <w:sz w:val="24"/>
        </w:rPr>
        <w:t>用水方：                                       （以下简称乙方）</w:t>
      </w:r>
    </w:p>
    <w:p w:rsidR="00C4082C" w:rsidRDefault="00C4082C" w:rsidP="00C4082C">
      <w:pPr>
        <w:pStyle w:val="a7"/>
        <w:adjustRightInd w:val="0"/>
        <w:snapToGrid w:val="0"/>
        <w:spacing w:line="440" w:lineRule="exact"/>
        <w:ind w:firstLineChars="0" w:firstLine="435"/>
        <w:rPr>
          <w:sz w:val="24"/>
        </w:rPr>
      </w:pPr>
      <w:r>
        <w:rPr>
          <w:rFonts w:hint="eastAsia"/>
          <w:sz w:val="24"/>
        </w:rPr>
        <w:t>为了明确甲乙双方的权利、义务、经甲乙双方协商同意签订本协议书。</w:t>
      </w:r>
    </w:p>
    <w:p w:rsidR="00C4082C" w:rsidRDefault="00C4082C" w:rsidP="00C4082C">
      <w:pPr>
        <w:pStyle w:val="a7"/>
        <w:numPr>
          <w:ilvl w:val="0"/>
          <w:numId w:val="2"/>
        </w:numPr>
        <w:tabs>
          <w:tab w:val="clear" w:pos="855"/>
          <w:tab w:val="left" w:pos="1365"/>
        </w:tabs>
        <w:adjustRightInd w:val="0"/>
        <w:snapToGrid w:val="0"/>
        <w:spacing w:line="440" w:lineRule="exact"/>
        <w:ind w:left="0" w:firstLine="480"/>
        <w:rPr>
          <w:sz w:val="24"/>
        </w:rPr>
      </w:pPr>
      <w:r>
        <w:rPr>
          <w:rFonts w:hint="eastAsia"/>
          <w:sz w:val="24"/>
        </w:rPr>
        <w:t>甲方供应符合国家水质、水压规定的自来水给乙方。若遇到计划停水时应利用报刊、电视等媒体发布停水消息，及时通知乙方。</w:t>
      </w:r>
    </w:p>
    <w:p w:rsidR="00C4082C" w:rsidRDefault="00C4082C" w:rsidP="00C4082C">
      <w:pPr>
        <w:pStyle w:val="a7"/>
        <w:numPr>
          <w:ilvl w:val="0"/>
          <w:numId w:val="2"/>
        </w:numPr>
        <w:tabs>
          <w:tab w:val="clear" w:pos="855"/>
          <w:tab w:val="left" w:pos="1365"/>
        </w:tabs>
        <w:adjustRightInd w:val="0"/>
        <w:snapToGrid w:val="0"/>
        <w:spacing w:line="440" w:lineRule="exact"/>
        <w:ind w:left="0" w:firstLine="480"/>
        <w:rPr>
          <w:sz w:val="24"/>
        </w:rPr>
      </w:pPr>
      <w:r>
        <w:rPr>
          <w:rFonts w:hint="eastAsia"/>
          <w:b/>
          <w:sz w:val="24"/>
        </w:rPr>
        <w:t>水价与水费。</w:t>
      </w:r>
      <w:r>
        <w:rPr>
          <w:rFonts w:hint="eastAsia"/>
          <w:sz w:val="24"/>
          <w:szCs w:val="22"/>
        </w:rPr>
        <w:t>在正式定价前，双方暂按临时水价（</w:t>
      </w:r>
      <w:r>
        <w:rPr>
          <w:rFonts w:hint="eastAsia"/>
          <w:sz w:val="24"/>
          <w:szCs w:val="22"/>
          <w:u w:val="single"/>
        </w:rPr>
        <w:t xml:space="preserve"> 2.2 </w:t>
      </w:r>
      <w:r>
        <w:rPr>
          <w:rFonts w:hint="eastAsia"/>
          <w:sz w:val="24"/>
          <w:szCs w:val="22"/>
        </w:rPr>
        <w:t>元/m³）进行结算，此价格未包含政府可能要求代收的水资源费和污水处理费；待政府方核批正式水价后，甲方按南宁市物价主管部门批准的</w:t>
      </w:r>
      <w:r>
        <w:rPr>
          <w:rFonts w:hint="eastAsia"/>
          <w:sz w:val="24"/>
        </w:rPr>
        <w:t>水价、依据贸易结算水表的计量记录计收水费（未含）。</w:t>
      </w:r>
    </w:p>
    <w:p w:rsidR="00C4082C" w:rsidRDefault="00C4082C" w:rsidP="00C4082C">
      <w:pPr>
        <w:pStyle w:val="a7"/>
        <w:numPr>
          <w:ilvl w:val="0"/>
          <w:numId w:val="2"/>
        </w:numPr>
        <w:tabs>
          <w:tab w:val="clear" w:pos="855"/>
          <w:tab w:val="left" w:pos="1365"/>
        </w:tabs>
        <w:adjustRightInd w:val="0"/>
        <w:snapToGrid w:val="0"/>
        <w:spacing w:line="440" w:lineRule="exact"/>
        <w:ind w:left="0" w:firstLine="480"/>
        <w:rPr>
          <w:sz w:val="24"/>
        </w:rPr>
      </w:pPr>
      <w:r>
        <w:rPr>
          <w:rFonts w:hint="eastAsia"/>
          <w:b/>
          <w:sz w:val="24"/>
        </w:rPr>
        <w:t>抄表。</w:t>
      </w:r>
      <w:r>
        <w:rPr>
          <w:rFonts w:hint="eastAsia"/>
          <w:sz w:val="24"/>
        </w:rPr>
        <w:t>甲方应在每月抄表后三日内通知乙方结算水费。如乙方未接到通知的应及时电话查询。</w:t>
      </w:r>
    </w:p>
    <w:p w:rsidR="00C4082C" w:rsidRDefault="00C4082C" w:rsidP="00C4082C">
      <w:pPr>
        <w:pStyle w:val="a7"/>
        <w:numPr>
          <w:ilvl w:val="0"/>
          <w:numId w:val="2"/>
        </w:numPr>
        <w:tabs>
          <w:tab w:val="clear" w:pos="855"/>
          <w:tab w:val="left" w:pos="1365"/>
        </w:tabs>
        <w:adjustRightInd w:val="0"/>
        <w:snapToGrid w:val="0"/>
        <w:spacing w:line="440" w:lineRule="exact"/>
        <w:ind w:left="0" w:firstLine="480"/>
        <w:rPr>
          <w:sz w:val="24"/>
        </w:rPr>
      </w:pPr>
      <w:r>
        <w:rPr>
          <w:rFonts w:hint="eastAsia"/>
          <w:b/>
          <w:sz w:val="24"/>
        </w:rPr>
        <w:t>水费结算。</w:t>
      </w:r>
      <w:r>
        <w:rPr>
          <w:rFonts w:hint="eastAsia"/>
          <w:sz w:val="24"/>
        </w:rPr>
        <w:t>乙方须在每月抄表日15天内结清全部水费。</w:t>
      </w:r>
    </w:p>
    <w:p w:rsidR="00C4082C" w:rsidRDefault="00C4082C" w:rsidP="00C4082C">
      <w:pPr>
        <w:pStyle w:val="a7"/>
        <w:numPr>
          <w:ilvl w:val="0"/>
          <w:numId w:val="2"/>
        </w:numPr>
        <w:tabs>
          <w:tab w:val="clear" w:pos="855"/>
          <w:tab w:val="left" w:pos="1365"/>
        </w:tabs>
        <w:adjustRightInd w:val="0"/>
        <w:snapToGrid w:val="0"/>
        <w:spacing w:line="440" w:lineRule="exact"/>
        <w:ind w:left="0" w:firstLine="480"/>
        <w:rPr>
          <w:sz w:val="24"/>
        </w:rPr>
      </w:pPr>
      <w:r>
        <w:rPr>
          <w:rFonts w:hint="eastAsia"/>
          <w:b/>
          <w:sz w:val="24"/>
        </w:rPr>
        <w:t>水费支付方式</w:t>
      </w:r>
      <w:r>
        <w:rPr>
          <w:rFonts w:hint="eastAsia"/>
          <w:sz w:val="24"/>
        </w:rPr>
        <w:t>：银行托收、转账、存折、信用卡、交现金等，乙方可自行选择。</w:t>
      </w:r>
    </w:p>
    <w:p w:rsidR="00C4082C" w:rsidRDefault="00C4082C" w:rsidP="00C4082C">
      <w:pPr>
        <w:pStyle w:val="a7"/>
        <w:numPr>
          <w:ilvl w:val="0"/>
          <w:numId w:val="2"/>
        </w:numPr>
        <w:tabs>
          <w:tab w:val="clear" w:pos="855"/>
          <w:tab w:val="left" w:pos="1365"/>
        </w:tabs>
        <w:adjustRightInd w:val="0"/>
        <w:snapToGrid w:val="0"/>
        <w:spacing w:line="440" w:lineRule="exact"/>
        <w:ind w:left="0" w:firstLine="480"/>
        <w:rPr>
          <w:sz w:val="24"/>
        </w:rPr>
      </w:pPr>
      <w:r>
        <w:rPr>
          <w:rFonts w:hint="eastAsia"/>
          <w:sz w:val="24"/>
        </w:rPr>
        <w:t>乙方如需变更交费银行账户、用水性质、户名等，须及时到甲方营业厅办理相应的变更手续。</w:t>
      </w:r>
    </w:p>
    <w:p w:rsidR="00C4082C" w:rsidRDefault="00C4082C" w:rsidP="00C4082C">
      <w:pPr>
        <w:pStyle w:val="a7"/>
        <w:numPr>
          <w:ilvl w:val="0"/>
          <w:numId w:val="2"/>
        </w:numPr>
        <w:tabs>
          <w:tab w:val="clear" w:pos="855"/>
          <w:tab w:val="left" w:pos="1365"/>
        </w:tabs>
        <w:adjustRightInd w:val="0"/>
        <w:snapToGrid w:val="0"/>
        <w:spacing w:line="440" w:lineRule="exact"/>
        <w:ind w:left="0" w:firstLine="480"/>
        <w:rPr>
          <w:sz w:val="24"/>
        </w:rPr>
      </w:pPr>
      <w:r>
        <w:rPr>
          <w:rFonts w:hint="eastAsia"/>
          <w:b/>
          <w:sz w:val="24"/>
        </w:rPr>
        <w:t>供水管道及阀门的管理与维护。</w:t>
      </w:r>
      <w:r>
        <w:rPr>
          <w:rFonts w:hint="eastAsia"/>
          <w:sz w:val="24"/>
        </w:rPr>
        <w:t>按国家《城市供水条例》、《广西壮族自治区实施〈城市供水条例〉办法》、《南宁市城市供水节水条例》规定，城市公共供水设施的管理和维护，自验收合格之日起，用户总水表（含总水表）以外的由甲方统一管理和维护，用户总水表以内的由乙方负责管理和维护。</w:t>
      </w:r>
    </w:p>
    <w:p w:rsidR="00C4082C" w:rsidRDefault="00C4082C" w:rsidP="00C4082C">
      <w:pPr>
        <w:pStyle w:val="a7"/>
        <w:numPr>
          <w:ilvl w:val="0"/>
          <w:numId w:val="2"/>
        </w:numPr>
        <w:tabs>
          <w:tab w:val="clear" w:pos="855"/>
          <w:tab w:val="left" w:pos="1365"/>
        </w:tabs>
        <w:adjustRightInd w:val="0"/>
        <w:snapToGrid w:val="0"/>
        <w:spacing w:line="440" w:lineRule="exact"/>
        <w:ind w:left="0" w:firstLine="480"/>
        <w:rPr>
          <w:sz w:val="24"/>
        </w:rPr>
      </w:pPr>
      <w:r>
        <w:rPr>
          <w:rFonts w:hint="eastAsia"/>
          <w:sz w:val="24"/>
        </w:rPr>
        <w:t>违约责任</w:t>
      </w:r>
    </w:p>
    <w:p w:rsidR="00C4082C" w:rsidRDefault="00C4082C" w:rsidP="00C4082C">
      <w:pPr>
        <w:pStyle w:val="a7"/>
        <w:adjustRightInd w:val="0"/>
        <w:snapToGrid w:val="0"/>
        <w:spacing w:line="440" w:lineRule="exact"/>
        <w:ind w:firstLineChars="0" w:firstLine="435"/>
        <w:rPr>
          <w:rFonts w:ascii="宋体" w:hAnsi="宋体"/>
          <w:sz w:val="24"/>
        </w:rPr>
      </w:pPr>
      <w:r>
        <w:rPr>
          <w:rFonts w:hint="eastAsia"/>
          <w:sz w:val="24"/>
        </w:rPr>
        <w:t>1、乙方未能在规定期限内交清水费的，按《南宁市城市供水条例》规定，应向甲方交纳水费违约金，水费违约金从逾期之日（抄表日起第16天）起计算至交纳之日止，每日水费违约金按欠费总额的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‰计算；</w:t>
      </w:r>
    </w:p>
    <w:p w:rsidR="00C4082C" w:rsidRDefault="00C4082C" w:rsidP="00C4082C">
      <w:pPr>
        <w:pStyle w:val="a7"/>
        <w:adjustRightInd w:val="0"/>
        <w:snapToGrid w:val="0"/>
        <w:spacing w:line="440" w:lineRule="exact"/>
        <w:ind w:firstLineChars="0" w:firstLine="435"/>
        <w:rPr>
          <w:sz w:val="24"/>
        </w:rPr>
      </w:pPr>
      <w:r>
        <w:rPr>
          <w:rFonts w:hint="eastAsia"/>
          <w:sz w:val="24"/>
        </w:rPr>
        <w:t>2、对经催交、逾期2个月仍未交清水费的，甲方有权进行拆表停水处理，直至乙方交清欠费为止；欠费拆装水表的费用由乙方负责。因欠费被停水的客户，在交清所欠水费和违约金后须到甲方营业厅办理恢复供水手续，甲方将在一个工作日内恢复供水。</w:t>
      </w:r>
    </w:p>
    <w:p w:rsidR="00C4082C" w:rsidRDefault="00C4082C" w:rsidP="00C4082C">
      <w:pPr>
        <w:pStyle w:val="a7"/>
        <w:numPr>
          <w:ilvl w:val="0"/>
          <w:numId w:val="2"/>
        </w:numPr>
        <w:tabs>
          <w:tab w:val="clear" w:pos="855"/>
          <w:tab w:val="left" w:pos="1365"/>
        </w:tabs>
        <w:adjustRightInd w:val="0"/>
        <w:snapToGrid w:val="0"/>
        <w:spacing w:line="440" w:lineRule="exact"/>
        <w:ind w:left="0" w:firstLine="480"/>
        <w:rPr>
          <w:sz w:val="24"/>
        </w:rPr>
      </w:pPr>
      <w:r>
        <w:rPr>
          <w:rFonts w:hint="eastAsia"/>
          <w:sz w:val="24"/>
        </w:rPr>
        <w:t>本协议一式肆份，甲方执叁份，乙方执壹份，甲乙双方签字或盖章并于工程竣工通水后生效。</w:t>
      </w:r>
    </w:p>
    <w:p w:rsidR="00C4082C" w:rsidRDefault="00C4082C" w:rsidP="00C4082C">
      <w:pPr>
        <w:pStyle w:val="a7"/>
        <w:numPr>
          <w:ilvl w:val="0"/>
          <w:numId w:val="2"/>
        </w:numPr>
        <w:tabs>
          <w:tab w:val="clear" w:pos="855"/>
          <w:tab w:val="left" w:pos="1365"/>
        </w:tabs>
        <w:adjustRightInd w:val="0"/>
        <w:snapToGrid w:val="0"/>
        <w:spacing w:line="440" w:lineRule="exact"/>
        <w:ind w:left="0" w:firstLine="480"/>
        <w:rPr>
          <w:sz w:val="24"/>
        </w:rPr>
      </w:pPr>
      <w:r>
        <w:rPr>
          <w:rFonts w:hint="eastAsia"/>
          <w:sz w:val="24"/>
        </w:rPr>
        <w:t>本协议未尽事宜，依照有关法律、法规或政府部门的规章规定处理。</w:t>
      </w:r>
    </w:p>
    <w:p w:rsidR="00C4082C" w:rsidRDefault="00C4082C" w:rsidP="00C4082C">
      <w:pPr>
        <w:pStyle w:val="a7"/>
        <w:adjustRightInd w:val="0"/>
        <w:snapToGrid w:val="0"/>
        <w:spacing w:line="440" w:lineRule="exact"/>
        <w:ind w:firstLineChars="0" w:firstLine="0"/>
        <w:rPr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33"/>
        <w:gridCol w:w="4707"/>
      </w:tblGrid>
      <w:tr w:rsidR="00C4082C" w:rsidTr="00B5630B">
        <w:trPr>
          <w:cantSplit/>
          <w:trHeight w:val="651"/>
          <w:jc w:val="center"/>
        </w:trPr>
        <w:tc>
          <w:tcPr>
            <w:tcW w:w="5133" w:type="dxa"/>
            <w:vAlign w:val="center"/>
          </w:tcPr>
          <w:p w:rsidR="00C4082C" w:rsidRDefault="00C4082C" w:rsidP="00B5630B">
            <w:pPr>
              <w:pStyle w:val="a7"/>
              <w:adjustRightInd w:val="0"/>
              <w:snapToGrid w:val="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甲    方：</w:t>
            </w:r>
          </w:p>
        </w:tc>
        <w:tc>
          <w:tcPr>
            <w:tcW w:w="4707" w:type="dxa"/>
            <w:vAlign w:val="center"/>
          </w:tcPr>
          <w:p w:rsidR="00C4082C" w:rsidRDefault="00C4082C" w:rsidP="00B5630B">
            <w:pPr>
              <w:pStyle w:val="a7"/>
              <w:adjustRightInd w:val="0"/>
              <w:snapToGrid w:val="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乙方（签章）：</w:t>
            </w:r>
          </w:p>
        </w:tc>
      </w:tr>
      <w:tr w:rsidR="00C4082C" w:rsidTr="00B5630B">
        <w:trPr>
          <w:cantSplit/>
          <w:trHeight w:val="454"/>
          <w:jc w:val="center"/>
        </w:trPr>
        <w:tc>
          <w:tcPr>
            <w:tcW w:w="5133" w:type="dxa"/>
            <w:vAlign w:val="center"/>
          </w:tcPr>
          <w:p w:rsidR="00C4082C" w:rsidRDefault="00C4082C" w:rsidP="00B5630B">
            <w:pPr>
              <w:pStyle w:val="a7"/>
              <w:adjustRightInd w:val="0"/>
              <w:snapToGrid w:val="0"/>
              <w:ind w:firstLineChars="0" w:firstLine="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4707" w:type="dxa"/>
            <w:vAlign w:val="center"/>
          </w:tcPr>
          <w:p w:rsidR="00C4082C" w:rsidRDefault="00C4082C" w:rsidP="00B5630B">
            <w:pPr>
              <w:pStyle w:val="a7"/>
              <w:adjustRightInd w:val="0"/>
              <w:snapToGrid w:val="0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联系电话：</w:t>
            </w:r>
          </w:p>
        </w:tc>
      </w:tr>
      <w:tr w:rsidR="00C4082C" w:rsidTr="00B5630B">
        <w:trPr>
          <w:cantSplit/>
          <w:trHeight w:val="397"/>
          <w:jc w:val="center"/>
        </w:trPr>
        <w:tc>
          <w:tcPr>
            <w:tcW w:w="5133" w:type="dxa"/>
            <w:vAlign w:val="bottom"/>
          </w:tcPr>
          <w:p w:rsidR="00C4082C" w:rsidRDefault="00C4082C" w:rsidP="00B5630B">
            <w:pPr>
              <w:pStyle w:val="a7"/>
              <w:adjustRightInd w:val="0"/>
              <w:snapToGrid w:val="0"/>
              <w:ind w:firstLineChars="0" w:firstLine="0"/>
              <w:jc w:val="right"/>
              <w:rPr>
                <w:sz w:val="24"/>
              </w:rPr>
            </w:pPr>
          </w:p>
        </w:tc>
        <w:tc>
          <w:tcPr>
            <w:tcW w:w="4707" w:type="dxa"/>
            <w:vAlign w:val="bottom"/>
          </w:tcPr>
          <w:p w:rsidR="00C4082C" w:rsidRDefault="00C4082C" w:rsidP="00B5630B">
            <w:pPr>
              <w:pStyle w:val="a7"/>
              <w:adjustRightInd w:val="0"/>
              <w:snapToGrid w:val="0"/>
              <w:ind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签订日期：     年   月    日</w:t>
            </w:r>
          </w:p>
        </w:tc>
      </w:tr>
    </w:tbl>
    <w:p w:rsidR="006A2E48" w:rsidRPr="00C4082C" w:rsidRDefault="006A2E48" w:rsidP="00C4082C"/>
    <w:sectPr w:rsidR="006A2E48" w:rsidRPr="00C4082C" w:rsidSect="00D16D7D">
      <w:pgSz w:w="11906" w:h="16838"/>
      <w:pgMar w:top="851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20" w:rsidRDefault="00002920" w:rsidP="00C4082C">
      <w:r>
        <w:separator/>
      </w:r>
    </w:p>
  </w:endnote>
  <w:endnote w:type="continuationSeparator" w:id="0">
    <w:p w:rsidR="00002920" w:rsidRDefault="00002920" w:rsidP="00C4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20" w:rsidRDefault="00002920" w:rsidP="00C4082C">
      <w:r>
        <w:separator/>
      </w:r>
    </w:p>
  </w:footnote>
  <w:footnote w:type="continuationSeparator" w:id="0">
    <w:p w:rsidR="00002920" w:rsidRDefault="00002920" w:rsidP="00C4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3B372F6"/>
    <w:multiLevelType w:val="multilevel"/>
    <w:tmpl w:val="00000000"/>
    <w:lvl w:ilvl="0">
      <w:start w:val="1"/>
      <w:numFmt w:val="chineseCountingThousand"/>
      <w:lvlText w:val="第%1条"/>
      <w:lvlJc w:val="left"/>
      <w:pPr>
        <w:tabs>
          <w:tab w:val="left" w:pos="855"/>
        </w:tabs>
        <w:ind w:left="85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7D"/>
    <w:rsid w:val="00002920"/>
    <w:rsid w:val="006A2E48"/>
    <w:rsid w:val="00C4082C"/>
    <w:rsid w:val="00D1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A226D"/>
  <w15:chartTrackingRefBased/>
  <w15:docId w15:val="{31A7566B-FFFF-4716-9523-CA62FE84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8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82C"/>
    <w:rPr>
      <w:sz w:val="18"/>
      <w:szCs w:val="18"/>
    </w:rPr>
  </w:style>
  <w:style w:type="paragraph" w:styleId="a7">
    <w:name w:val="Body Text Indent"/>
    <w:basedOn w:val="a"/>
    <w:link w:val="a8"/>
    <w:rsid w:val="00C4082C"/>
    <w:pPr>
      <w:ind w:firstLineChars="200" w:firstLine="560"/>
    </w:pPr>
    <w:rPr>
      <w:sz w:val="28"/>
    </w:rPr>
  </w:style>
  <w:style w:type="character" w:customStyle="1" w:styleId="a8">
    <w:name w:val="正文文本缩进 字符"/>
    <w:basedOn w:val="a0"/>
    <w:link w:val="a7"/>
    <w:rsid w:val="00C4082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2021-08-04T09:23:00Z</dcterms:created>
  <dcterms:modified xsi:type="dcterms:W3CDTF">2021-08-04T09:26:00Z</dcterms:modified>
</cp:coreProperties>
</file>